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78" w:rsidRPr="0070324E" w:rsidRDefault="00D511E1">
      <w:pPr>
        <w:rPr>
          <w:sz w:val="28"/>
          <w:szCs w:val="28"/>
        </w:rPr>
      </w:pPr>
      <w:r w:rsidRPr="0070324E">
        <w:rPr>
          <w:sz w:val="28"/>
          <w:szCs w:val="28"/>
        </w:rPr>
        <w:t>Hidrolik Enerji</w:t>
      </w:r>
    </w:p>
    <w:p w:rsidR="00D511E1" w:rsidRDefault="00D511E1" w:rsidP="00D511E1">
      <w:pPr>
        <w:pStyle w:val="NormalWeb"/>
        <w:spacing w:line="336" w:lineRule="auto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Çeşitli enerji kaynakları içerisinde hidroelektrik enerji santralleri çevre dostu olmaları ve düşük potansiyel risk taşımaları sebebiyle tercih edilmektedir. Hidroelektrik santraller; çevreye uyumlu, temiz, yenilenebilir, yüksek verimli, yakıt gideri olmayan, enerji fiyatlarında sigorta rolü üstlenen, uzun ömürlü, işletme gideri çok düşük dışa bağımlı olmayan yerli bir kaynaktır.</w:t>
      </w:r>
    </w:p>
    <w:p w:rsidR="00D511E1" w:rsidRDefault="00D511E1" w:rsidP="00D511E1">
      <w:pPr>
        <w:pStyle w:val="NormalWeb"/>
        <w:spacing w:line="336" w:lineRule="auto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Türkiye'de teknik olarak değerlendirilebilir hidroelektrik potansiyeli 140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GWh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/yıl'dır. 2009 yılı sonu itibariyle işletmede bulunan 150 adet HES (hidroelektrik santrali) 14.417 </w:t>
      </w:r>
      <w:proofErr w:type="spellStart"/>
      <w:r>
        <w:rPr>
          <w:rFonts w:ascii="Tahoma" w:hAnsi="Tahoma" w:cs="Tahoma"/>
          <w:color w:val="444444"/>
          <w:sz w:val="17"/>
          <w:szCs w:val="17"/>
        </w:rPr>
        <w:t>MW'lık</w:t>
      </w:r>
      <w:proofErr w:type="spellEnd"/>
      <w:r>
        <w:rPr>
          <w:rFonts w:ascii="Tahoma" w:hAnsi="Tahoma" w:cs="Tahoma"/>
          <w:color w:val="444444"/>
          <w:sz w:val="17"/>
          <w:szCs w:val="17"/>
        </w:rPr>
        <w:t xml:space="preserve"> kurulu güce ve toplam potansiyelin yaklaşık %38'ine karşılık gelmektedir.</w:t>
      </w:r>
    </w:p>
    <w:p w:rsidR="00D511E1" w:rsidRDefault="00D511E1" w:rsidP="00D511E1">
      <w:pPr>
        <w:pStyle w:val="NormalWeb"/>
        <w:spacing w:line="336" w:lineRule="auto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2009 yılında elektrik üretimimizin %18,5'i hidroelektrik santrallerden temin edilmiştir. Son yıllarda yaşanan kuraklıklar hidroelektrik santrallerinden beklenen katkının sağlanamamasına neden olmaktadır. Ancak hidroelektrik üretimi 2009 yılında 2008 yılına göre %7,8 oranında artarak 35.870 MW olarak gerçekleşmiştir.</w:t>
      </w:r>
    </w:p>
    <w:p w:rsidR="00D511E1" w:rsidRDefault="00D511E1" w:rsidP="00D511E1">
      <w:pPr>
        <w:pStyle w:val="NormalWeb"/>
        <w:spacing w:line="336" w:lineRule="auto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Teknik ve ekonomik olarak değerlendirilebilecek tüm hidroelektrik potansiyelin 2023 yılına kadar elektrik enerjisi üretiminde kullanılması hedeflenmektedir.</w:t>
      </w:r>
    </w:p>
    <w:p w:rsidR="00D511E1" w:rsidRDefault="00D511E1"/>
    <w:sectPr w:rsidR="00D511E1" w:rsidSect="001D2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1E1"/>
    <w:rsid w:val="0016565A"/>
    <w:rsid w:val="001D2E78"/>
    <w:rsid w:val="0070324E"/>
    <w:rsid w:val="00D5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Bahri</dc:creator>
  <cp:lastModifiedBy>Bahri</cp:lastModifiedBy>
  <cp:revision>2</cp:revision>
  <dcterms:created xsi:type="dcterms:W3CDTF">2012-10-30T12:21:00Z</dcterms:created>
  <dcterms:modified xsi:type="dcterms:W3CDTF">2012-10-30T12:21:00Z</dcterms:modified>
</cp:coreProperties>
</file>